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jc w:val="center"/>
        <w:rPr>
          <w:rFonts w:ascii="Times New Roman" w:hAnsi="Times New Roman" w:eastAsia="方正小标宋简体" w:cs="方正小标宋简体"/>
          <w:color w:val="000000"/>
          <w:sz w:val="44"/>
          <w:szCs w:val="44"/>
        </w:rPr>
      </w:pPr>
      <w:bookmarkStart w:id="0" w:name="_GoBack"/>
      <w:bookmarkEnd w:id="0"/>
    </w:p>
    <w:p>
      <w:pPr>
        <w:spacing w:line="590" w:lineRule="exact"/>
        <w:jc w:val="center"/>
        <w:rPr>
          <w:rFonts w:ascii="Times New Roman" w:hAnsi="Times New Roman" w:eastAsia="方正小标宋简体" w:cs="方正小标宋简体"/>
          <w:color w:val="000000"/>
          <w:sz w:val="44"/>
          <w:szCs w:val="44"/>
        </w:rPr>
      </w:pPr>
    </w:p>
    <w:p>
      <w:pPr>
        <w:spacing w:line="590" w:lineRule="exact"/>
        <w:jc w:val="center"/>
        <w:rPr>
          <w:rFonts w:ascii="Times New Roman" w:hAnsi="Times New Roman" w:eastAsia="方正小标宋简体" w:cs="方正小标宋简体"/>
          <w:color w:val="000000"/>
          <w:sz w:val="44"/>
          <w:szCs w:val="44"/>
        </w:rPr>
      </w:pPr>
    </w:p>
    <w:p>
      <w:pPr>
        <w:spacing w:line="590" w:lineRule="exact"/>
        <w:jc w:val="center"/>
        <w:rPr>
          <w:rFonts w:ascii="Times New Roman" w:hAnsi="Times New Roman" w:eastAsia="方正小标宋简体" w:cs="方正小标宋简体"/>
          <w:color w:val="000000"/>
          <w:sz w:val="44"/>
          <w:szCs w:val="44"/>
        </w:rPr>
      </w:pPr>
    </w:p>
    <w:p>
      <w:pPr>
        <w:spacing w:line="590" w:lineRule="exact"/>
        <w:jc w:val="center"/>
        <w:rPr>
          <w:rFonts w:ascii="Times New Roman" w:hAnsi="Times New Roman" w:eastAsia="方正小标宋简体" w:cs="Times New Roman"/>
          <w:color w:val="000000"/>
          <w:sz w:val="44"/>
          <w:szCs w:val="44"/>
        </w:rPr>
      </w:pPr>
      <w:r>
        <w:rPr>
          <w:rFonts w:hint="eastAsia" w:ascii="Times New Roman" w:hAnsi="Times New Roman" w:eastAsia="方正小标宋简体" w:cs="方正小标宋简体"/>
          <w:color w:val="000000"/>
          <w:sz w:val="44"/>
          <w:szCs w:val="44"/>
        </w:rPr>
        <w:t>共青团成都市委</w:t>
      </w:r>
    </w:p>
    <w:p>
      <w:pPr>
        <w:spacing w:line="590" w:lineRule="exact"/>
        <w:jc w:val="center"/>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color w:val="000000"/>
          <w:sz w:val="44"/>
          <w:szCs w:val="44"/>
        </w:rPr>
        <w:t>关于邀请参加</w:t>
      </w:r>
      <w:r>
        <w:rPr>
          <w:rFonts w:hint="eastAsia" w:ascii="Times New Roman" w:hAnsi="Times New Roman" w:eastAsia="方正小标宋简体" w:cs="Times New Roman"/>
          <w:color w:val="000000"/>
          <w:sz w:val="44"/>
          <w:szCs w:val="44"/>
        </w:rPr>
        <w:t>“2018年暑假</w:t>
      </w:r>
      <w:r>
        <w:rPr>
          <w:rFonts w:hint="eastAsia" w:ascii="Times New Roman" w:hAnsi="Times New Roman" w:eastAsia="方正小标宋简体" w:cs="方正小标宋简体"/>
          <w:color w:val="000000"/>
          <w:sz w:val="44"/>
          <w:szCs w:val="44"/>
        </w:rPr>
        <w:t>大学生赴蓉社会</w:t>
      </w:r>
    </w:p>
    <w:p>
      <w:pPr>
        <w:spacing w:line="590" w:lineRule="exact"/>
        <w:jc w:val="center"/>
        <w:rPr>
          <w:rFonts w:ascii="Times New Roman" w:hAnsi="Times New Roman" w:cs="Times New Roman"/>
          <w:color w:val="000000"/>
          <w:sz w:val="32"/>
          <w:szCs w:val="32"/>
        </w:rPr>
      </w:pPr>
      <w:r>
        <w:rPr>
          <w:rFonts w:hint="eastAsia" w:ascii="Times New Roman" w:hAnsi="Times New Roman" w:eastAsia="方正小标宋简体" w:cs="方正小标宋简体"/>
          <w:color w:val="000000"/>
          <w:sz w:val="44"/>
          <w:szCs w:val="44"/>
        </w:rPr>
        <w:t>调研</w:t>
      </w:r>
      <w:r>
        <w:rPr>
          <w:rFonts w:hint="eastAsia" w:ascii="Times New Roman" w:hAnsi="Times New Roman" w:eastAsia="方正小标宋简体" w:cs="Times New Roman"/>
          <w:color w:val="000000"/>
          <w:sz w:val="44"/>
          <w:szCs w:val="44"/>
        </w:rPr>
        <w:t>”</w:t>
      </w:r>
      <w:r>
        <w:rPr>
          <w:rFonts w:hint="eastAsia" w:ascii="Times New Roman" w:hAnsi="Times New Roman" w:eastAsia="方正小标宋简体" w:cs="方正小标宋简体"/>
          <w:color w:val="000000"/>
          <w:sz w:val="44"/>
          <w:szCs w:val="44"/>
        </w:rPr>
        <w:t>项目的函</w:t>
      </w:r>
    </w:p>
    <w:p>
      <w:pPr>
        <w:spacing w:line="590" w:lineRule="exact"/>
        <w:rPr>
          <w:rFonts w:ascii="Times New Roman" w:hAnsi="Times New Roman" w:eastAsia="仿宋_GB2312" w:cs="Times New Roman"/>
          <w:sz w:val="32"/>
          <w:szCs w:val="32"/>
        </w:rPr>
      </w:pPr>
    </w:p>
    <w:p>
      <w:pPr>
        <w:spacing w:line="59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各高校团委、青年学生：</w:t>
      </w:r>
    </w:p>
    <w:p>
      <w:pPr>
        <w:overflowPunct w:val="0"/>
        <w:spacing w:line="59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为建设具有国际竞争力的人才强市，不断吸引聚集各类人才来蓉创新创业，</w:t>
      </w:r>
      <w:r>
        <w:rPr>
          <w:rFonts w:hint="eastAsia" w:ascii="Times New Roman" w:hAnsi="Times New Roman" w:eastAsia="仿宋_GB2312"/>
          <w:sz w:val="32"/>
          <w:szCs w:val="32"/>
        </w:rPr>
        <w:t>按照《中共成都市委办公厅 成都市人民政府办公厅关于印发&lt;成都实施人才优先发展战略行动计划&gt;的通知》（成委办</w:t>
      </w:r>
      <w:r>
        <w:rPr>
          <w:rFonts w:ascii="Times New Roman" w:hAnsi="Times New Roman" w:eastAsia="仿宋_GB2312" w:cs="Times New Roman"/>
          <w:color w:val="000000"/>
          <w:sz w:val="32"/>
          <w:szCs w:val="32"/>
        </w:rPr>
        <w:t>〔201</w:t>
      </w:r>
      <w:r>
        <w:rPr>
          <w:rFonts w:hint="eastAsia" w:ascii="Times New Roman" w:hAnsi="Times New Roman" w:eastAsia="仿宋_GB2312" w:cs="Times New Roman"/>
          <w:color w:val="000000"/>
          <w:sz w:val="32"/>
          <w:szCs w:val="32"/>
        </w:rPr>
        <w:t>7</w:t>
      </w:r>
      <w:r>
        <w:rPr>
          <w:rFonts w:ascii="Times New Roman" w:hAnsi="Times New Roman" w:eastAsia="仿宋_GB2312" w:cs="Times New Roman"/>
          <w:color w:val="000000"/>
          <w:sz w:val="32"/>
          <w:szCs w:val="32"/>
        </w:rPr>
        <w:t>〕</w:t>
      </w:r>
      <w:r>
        <w:rPr>
          <w:rFonts w:hint="eastAsia" w:ascii="Times New Roman" w:hAnsi="Times New Roman" w:eastAsia="仿宋_GB2312"/>
          <w:sz w:val="32"/>
          <w:szCs w:val="32"/>
        </w:rPr>
        <w:t>23号）相关工作要求</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拟开展“2018年暑假大学生赴蓉社会调研”项目，促进大学生感受天府文化、体验创新创业活力。</w:t>
      </w:r>
    </w:p>
    <w:p>
      <w:pPr>
        <w:spacing w:line="590" w:lineRule="exact"/>
        <w:ind w:firstLine="640" w:firstLineChars="200"/>
        <w:rPr>
          <w:rFonts w:ascii="黑体" w:hAnsi="Times New Roman" w:eastAsia="黑体" w:cs="Times New Roman"/>
          <w:sz w:val="32"/>
          <w:szCs w:val="32"/>
        </w:rPr>
      </w:pPr>
      <w:r>
        <w:rPr>
          <w:rFonts w:hint="eastAsia" w:ascii="黑体" w:hAnsi="Times New Roman" w:eastAsia="黑体" w:cs="黑体"/>
          <w:sz w:val="32"/>
          <w:szCs w:val="32"/>
        </w:rPr>
        <w:t>一、活动主题</w:t>
      </w:r>
    </w:p>
    <w:p>
      <w:pPr>
        <w:spacing w:line="59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青春相约成都</w:t>
      </w:r>
    </w:p>
    <w:p>
      <w:pPr>
        <w:spacing w:line="590" w:lineRule="exact"/>
        <w:ind w:firstLine="640" w:firstLineChars="200"/>
        <w:rPr>
          <w:rFonts w:ascii="黑体" w:hAnsi="Times New Roman" w:eastAsia="黑体" w:cs="Times New Roman"/>
          <w:sz w:val="32"/>
          <w:szCs w:val="32"/>
        </w:rPr>
      </w:pPr>
      <w:r>
        <w:rPr>
          <w:rFonts w:hint="eastAsia" w:ascii="黑体" w:hAnsi="Times New Roman" w:eastAsia="黑体" w:cs="黑体"/>
          <w:sz w:val="32"/>
          <w:szCs w:val="32"/>
        </w:rPr>
        <w:t>二、实施时间</w:t>
      </w:r>
    </w:p>
    <w:p>
      <w:pPr>
        <w:spacing w:line="59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2018</w:t>
      </w:r>
      <w:r>
        <w:rPr>
          <w:rFonts w:hint="eastAsia" w:ascii="Times New Roman" w:hAnsi="Times New Roman" w:eastAsia="仿宋_GB2312" w:cs="仿宋_GB2312"/>
          <w:sz w:val="32"/>
          <w:szCs w:val="32"/>
        </w:rPr>
        <w:t>年</w:t>
      </w:r>
      <w:r>
        <w:rPr>
          <w:rFonts w:hint="eastAsia" w:ascii="Times New Roman" w:hAnsi="Times New Roman" w:eastAsia="仿宋_GB2312" w:cs="Times New Roman"/>
          <w:sz w:val="32"/>
          <w:szCs w:val="32"/>
        </w:rPr>
        <w:t>7</w:t>
      </w:r>
      <w:r>
        <w:rPr>
          <w:rFonts w:hint="eastAsia" w:ascii="Times New Roman" w:hAnsi="Times New Roman" w:eastAsia="仿宋_GB2312" w:cs="仿宋_GB2312"/>
          <w:sz w:val="32"/>
          <w:szCs w:val="32"/>
        </w:rPr>
        <w:t>月</w:t>
      </w:r>
    </w:p>
    <w:p>
      <w:pPr>
        <w:spacing w:line="590" w:lineRule="exact"/>
        <w:ind w:firstLine="640" w:firstLineChars="200"/>
        <w:rPr>
          <w:rFonts w:ascii="黑体" w:hAnsi="Times New Roman" w:eastAsia="黑体" w:cs="Times New Roman"/>
          <w:sz w:val="32"/>
          <w:szCs w:val="32"/>
        </w:rPr>
      </w:pPr>
      <w:r>
        <w:rPr>
          <w:rFonts w:hint="eastAsia" w:ascii="黑体" w:hAnsi="Times New Roman" w:eastAsia="黑体" w:cs="黑体"/>
          <w:sz w:val="32"/>
          <w:szCs w:val="32"/>
        </w:rPr>
        <w:t>三、调研地点</w:t>
      </w:r>
    </w:p>
    <w:p>
      <w:pPr>
        <w:spacing w:line="59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成都市</w:t>
      </w:r>
      <w:r>
        <w:rPr>
          <w:rFonts w:ascii="Times New Roman" w:hAnsi="Times New Roman" w:eastAsia="仿宋_GB2312" w:cs="Times New Roman"/>
          <w:sz w:val="32"/>
          <w:szCs w:val="32"/>
        </w:rPr>
        <w:t>22</w:t>
      </w:r>
      <w:r>
        <w:rPr>
          <w:rFonts w:hint="eastAsia" w:ascii="Times New Roman" w:hAnsi="Times New Roman" w:eastAsia="仿宋_GB2312" w:cs="仿宋_GB2312"/>
          <w:sz w:val="32"/>
          <w:szCs w:val="32"/>
        </w:rPr>
        <w:t>个区（市）县</w:t>
      </w:r>
    </w:p>
    <w:p>
      <w:pPr>
        <w:spacing w:line="590" w:lineRule="exact"/>
        <w:ind w:firstLine="640" w:firstLineChars="200"/>
        <w:rPr>
          <w:rFonts w:ascii="黑体" w:hAnsi="Times New Roman" w:eastAsia="黑体" w:cs="Times New Roman"/>
          <w:sz w:val="32"/>
          <w:szCs w:val="32"/>
        </w:rPr>
      </w:pPr>
      <w:r>
        <w:rPr>
          <w:rFonts w:hint="eastAsia" w:ascii="黑体" w:hAnsi="Times New Roman" w:eastAsia="黑体" w:cs="黑体"/>
          <w:sz w:val="32"/>
          <w:szCs w:val="32"/>
        </w:rPr>
        <w:t>四、对象及社会调研规模</w:t>
      </w:r>
    </w:p>
    <w:p>
      <w:pPr>
        <w:spacing w:line="59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全国知名高校的大三、研二阶段学生及在读博士研究生优先，总人数300人左右。</w:t>
      </w:r>
    </w:p>
    <w:p>
      <w:pPr>
        <w:spacing w:line="590" w:lineRule="exact"/>
        <w:ind w:firstLine="640" w:firstLineChars="200"/>
        <w:rPr>
          <w:rFonts w:ascii="黑体" w:hAnsi="Times New Roman" w:eastAsia="黑体" w:cs="Times New Roman"/>
          <w:sz w:val="32"/>
          <w:szCs w:val="32"/>
        </w:rPr>
      </w:pPr>
      <w:r>
        <w:rPr>
          <w:rFonts w:hint="eastAsia" w:ascii="黑体" w:hAnsi="Times New Roman" w:eastAsia="黑体" w:cs="黑体"/>
          <w:sz w:val="32"/>
          <w:szCs w:val="32"/>
        </w:rPr>
        <w:t>五、项目内容</w:t>
      </w:r>
    </w:p>
    <w:p>
      <w:pPr>
        <w:spacing w:line="59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邀请清华大学、北京大学等“双一流”高校大学生来蓉开展</w:t>
      </w:r>
      <w:r>
        <w:rPr>
          <w:rFonts w:ascii="Times New Roman" w:hAnsi="Times New Roman" w:eastAsia="仿宋_GB2312" w:cs="Times New Roman"/>
          <w:sz w:val="32"/>
          <w:szCs w:val="32"/>
        </w:rPr>
        <w:t>参观市容、走访园区和企业、文化体验、</w:t>
      </w:r>
      <w:r>
        <w:rPr>
          <w:rFonts w:hint="eastAsia" w:ascii="Times New Roman" w:hAnsi="Times New Roman" w:eastAsia="仿宋_GB2312" w:cs="Times New Roman"/>
          <w:sz w:val="32"/>
          <w:szCs w:val="32"/>
        </w:rPr>
        <w:t>“蓉漂”校园大使选拔、实地调研</w:t>
      </w:r>
      <w:r>
        <w:rPr>
          <w:rFonts w:hint="eastAsia" w:ascii="Times New Roman" w:hAnsi="Times New Roman" w:eastAsia="仿宋_GB2312" w:cs="Times New Roman"/>
          <w:sz w:val="32"/>
          <w:szCs w:val="32"/>
          <w:lang w:eastAsia="zh-CN"/>
        </w:rPr>
        <w:t>（见附件）</w:t>
      </w:r>
      <w:r>
        <w:rPr>
          <w:rFonts w:ascii="Times New Roman" w:hAnsi="Times New Roman" w:eastAsia="仿宋_GB2312" w:cs="Times New Roman"/>
          <w:sz w:val="32"/>
          <w:szCs w:val="32"/>
        </w:rPr>
        <w:t>等活动</w:t>
      </w:r>
      <w:r>
        <w:rPr>
          <w:rFonts w:hint="eastAsia" w:ascii="Times New Roman" w:hAnsi="Times New Roman" w:eastAsia="仿宋_GB2312" w:cs="Times New Roman"/>
          <w:sz w:val="32"/>
          <w:szCs w:val="32"/>
        </w:rPr>
        <w:t>，让大学生深入的感受和体验成都，在社会实践中长才干、受教育。调研活动结束后，按要求撰写项目调研总结，为成都打造一流的人才汇聚之地、事业发展之地、价值实现之地贡献青春力量。</w:t>
      </w:r>
    </w:p>
    <w:p>
      <w:pPr>
        <w:spacing w:line="590" w:lineRule="exact"/>
        <w:ind w:firstLine="640" w:firstLineChars="200"/>
        <w:rPr>
          <w:rFonts w:ascii="黑体" w:hAnsi="Times New Roman" w:eastAsia="黑体" w:cs="Times New Roman"/>
          <w:sz w:val="32"/>
          <w:szCs w:val="32"/>
        </w:rPr>
      </w:pPr>
      <w:r>
        <w:rPr>
          <w:rFonts w:hint="eastAsia" w:ascii="黑体" w:hAnsi="Times New Roman" w:eastAsia="黑体" w:cs="黑体"/>
          <w:sz w:val="32"/>
          <w:szCs w:val="32"/>
        </w:rPr>
        <w:t>六、项目参与方式</w:t>
      </w:r>
    </w:p>
    <w:p>
      <w:pPr>
        <w:spacing w:line="590" w:lineRule="exact"/>
        <w:ind w:firstLine="640" w:firstLineChars="200"/>
        <w:rPr>
          <w:rFonts w:ascii="楷体_GB2312" w:hAnsi="Times New Roman" w:eastAsia="楷体_GB2312" w:cs="方正楷体简体"/>
          <w:sz w:val="32"/>
          <w:szCs w:val="32"/>
        </w:rPr>
      </w:pPr>
      <w:r>
        <w:rPr>
          <w:rFonts w:hint="eastAsia" w:ascii="楷体_GB2312" w:hAnsi="Times New Roman" w:eastAsia="楷体_GB2312" w:cs="方正楷体简体"/>
          <w:sz w:val="32"/>
          <w:szCs w:val="32"/>
        </w:rPr>
        <w:t>（一）报名渠道</w:t>
      </w:r>
    </w:p>
    <w:p>
      <w:pPr>
        <w:spacing w:line="59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“青聚锦官城”微信订阅号作为活动报名唯一渠道，在对话栏输入“暑假赴蓉调研”，点击弹出对话框的链接进入报名页面，按照流程输入相关信息即可。</w:t>
      </w:r>
    </w:p>
    <w:p>
      <w:pPr>
        <w:spacing w:line="590" w:lineRule="exact"/>
        <w:ind w:firstLine="640" w:firstLineChars="200"/>
        <w:rPr>
          <w:rFonts w:ascii="楷体_GB2312" w:hAnsi="Times New Roman" w:eastAsia="楷体_GB2312" w:cs="方正楷体简体"/>
          <w:sz w:val="32"/>
          <w:szCs w:val="32"/>
        </w:rPr>
      </w:pPr>
      <w:r>
        <w:rPr>
          <w:rFonts w:hint="eastAsia" w:ascii="楷体_GB2312" w:hAnsi="Times New Roman" w:eastAsia="楷体_GB2312" w:cs="方正楷体简体"/>
          <w:sz w:val="32"/>
          <w:szCs w:val="32"/>
        </w:rPr>
        <w:t>（二）报名时间</w:t>
      </w:r>
    </w:p>
    <w:p>
      <w:pPr>
        <w:spacing w:line="590" w:lineRule="exact"/>
        <w:ind w:firstLine="640" w:firstLineChars="200"/>
        <w:rPr>
          <w:rFonts w:ascii="Times New Roman" w:hAnsi="Times New Roman" w:eastAsia="方正楷体简体" w:cs="Times New Roman"/>
          <w:sz w:val="32"/>
          <w:szCs w:val="32"/>
        </w:rPr>
      </w:pPr>
      <w:r>
        <w:rPr>
          <w:rFonts w:hint="eastAsia" w:ascii="Times New Roman" w:hAnsi="Times New Roman" w:eastAsia="仿宋_GB2312" w:cs="仿宋_GB2312"/>
          <w:sz w:val="32"/>
          <w:szCs w:val="32"/>
        </w:rPr>
        <w:t>调研团队须在校团委的统筹安排下开展报名工作。社会报名时间为2018年5月2</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日至6月20日。</w:t>
      </w:r>
    </w:p>
    <w:p>
      <w:pPr>
        <w:spacing w:line="590" w:lineRule="exact"/>
        <w:ind w:firstLine="640" w:firstLineChars="200"/>
        <w:rPr>
          <w:rFonts w:ascii="楷体_GB2312" w:hAnsi="Times New Roman" w:eastAsia="楷体_GB2312" w:cs="方正楷体简体"/>
          <w:sz w:val="32"/>
          <w:szCs w:val="32"/>
        </w:rPr>
      </w:pPr>
      <w:r>
        <w:rPr>
          <w:rFonts w:hint="eastAsia" w:ascii="楷体_GB2312" w:hAnsi="Times New Roman" w:eastAsia="楷体_GB2312" w:cs="方正楷体简体"/>
          <w:sz w:val="32"/>
          <w:szCs w:val="32"/>
        </w:rPr>
        <w:t>（三）事项说明</w:t>
      </w:r>
    </w:p>
    <w:p>
      <w:pPr>
        <w:spacing w:line="590" w:lineRule="exact"/>
        <w:ind w:firstLine="640" w:firstLineChars="200"/>
        <w:rPr>
          <w:rFonts w:ascii="Times New Roman" w:hAnsi="Times New Roman" w:eastAsia="仿宋_GB2312" w:cs="仿宋_GB2312"/>
          <w:sz w:val="32"/>
          <w:szCs w:val="32"/>
        </w:rPr>
      </w:pPr>
      <w:r>
        <w:rPr>
          <w:rFonts w:hint="eastAsia" w:ascii="Times New Roman" w:hAnsi="Times New Roman" w:eastAsia="方正楷体简体" w:cs="方正楷体简体"/>
          <w:sz w:val="32"/>
          <w:szCs w:val="32"/>
        </w:rPr>
        <w:t>1</w:t>
      </w:r>
      <w:r>
        <w:rPr>
          <w:rFonts w:hint="eastAsia" w:eastAsia="仿宋_GB2312"/>
          <w:sz w:val="32"/>
          <w:szCs w:val="32"/>
        </w:rPr>
        <w:t>．</w:t>
      </w:r>
      <w:r>
        <w:rPr>
          <w:rFonts w:ascii="Times New Roman" w:hAnsi="Times New Roman" w:eastAsia="仿宋_GB2312" w:cs="仿宋_GB2312"/>
          <w:sz w:val="32"/>
          <w:szCs w:val="32"/>
        </w:rPr>
        <w:t>2018</w:t>
      </w:r>
      <w:r>
        <w:rPr>
          <w:rFonts w:hint="eastAsia" w:ascii="Times New Roman" w:hAnsi="Times New Roman" w:eastAsia="仿宋_GB2312" w:cs="仿宋_GB2312"/>
          <w:sz w:val="32"/>
          <w:szCs w:val="32"/>
        </w:rPr>
        <w:t>年暑假大学生赴蓉社会调研项目原则上只接收团队报名，不接收个人报名，团队成员规模为3至5人。</w:t>
      </w:r>
    </w:p>
    <w:p>
      <w:pPr>
        <w:spacing w:line="59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w:t>
      </w:r>
      <w:r>
        <w:rPr>
          <w:rFonts w:hint="eastAsia" w:eastAsia="仿宋_GB2312"/>
          <w:sz w:val="32"/>
          <w:szCs w:val="32"/>
        </w:rPr>
        <w:t>．</w:t>
      </w:r>
      <w:r>
        <w:rPr>
          <w:rFonts w:hint="eastAsia" w:ascii="Times New Roman" w:hAnsi="Times New Roman" w:eastAsia="仿宋_GB2312" w:cs="仿宋_GB2312"/>
          <w:sz w:val="32"/>
          <w:szCs w:val="32"/>
        </w:rPr>
        <w:t>报名人员须向所在高校团委提出报名申请，由校团委按照活动需求组织开展人员筛查工作。</w:t>
      </w:r>
    </w:p>
    <w:p>
      <w:pPr>
        <w:spacing w:line="590" w:lineRule="exact"/>
        <w:ind w:firstLine="640" w:firstLineChars="200"/>
        <w:rPr>
          <w:rFonts w:ascii="黑体" w:hAnsi="Times New Roman" w:eastAsia="黑体" w:cs="Times New Roman"/>
          <w:sz w:val="32"/>
          <w:szCs w:val="32"/>
        </w:rPr>
      </w:pPr>
      <w:r>
        <w:rPr>
          <w:rFonts w:hint="eastAsia" w:ascii="黑体" w:hAnsi="Times New Roman" w:eastAsia="黑体" w:cs="黑体"/>
          <w:sz w:val="32"/>
          <w:szCs w:val="32"/>
        </w:rPr>
        <w:t>七、激励措施</w:t>
      </w:r>
    </w:p>
    <w:p>
      <w:pPr>
        <w:spacing w:line="59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在调研期间，将开展“蓉漂”校园大使选聘活动，传递蓉城声音，发挥以才引才效力，吸引更多大学生落户成都。</w:t>
      </w:r>
    </w:p>
    <w:p>
      <w:pPr>
        <w:spacing w:line="590" w:lineRule="exact"/>
        <w:ind w:firstLine="640" w:firstLineChars="200"/>
        <w:rPr>
          <w:rFonts w:ascii="黑体" w:hAnsi="Times New Roman" w:eastAsia="黑体" w:cs="Times New Roman"/>
          <w:sz w:val="32"/>
          <w:szCs w:val="32"/>
        </w:rPr>
      </w:pPr>
      <w:r>
        <w:rPr>
          <w:rFonts w:hint="eastAsia" w:ascii="黑体" w:hAnsi="Times New Roman" w:eastAsia="黑体" w:cs="黑体"/>
          <w:sz w:val="32"/>
          <w:szCs w:val="32"/>
        </w:rPr>
        <w:t>八、项目保障</w:t>
      </w:r>
    </w:p>
    <w:p>
      <w:pPr>
        <w:spacing w:line="59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为保障</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暑假</w:t>
      </w:r>
      <w:r>
        <w:rPr>
          <w:rFonts w:hint="eastAsia" w:ascii="Times New Roman" w:hAnsi="Times New Roman" w:eastAsia="仿宋_GB2312" w:cs="仿宋_GB2312"/>
          <w:sz w:val="32"/>
          <w:szCs w:val="32"/>
        </w:rPr>
        <w:t>大学生赴蓉社会调研</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项目顺利实施，项目将统一为参与项目的大学生提供免费住宿、活动保险和一定的交通补贴，并为每支队伍配备</w:t>
      </w: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名志愿者，为队伍提供交通向导、语言沟通等保障服务。</w:t>
      </w:r>
    </w:p>
    <w:p>
      <w:pPr>
        <w:spacing w:line="590" w:lineRule="exact"/>
        <w:rPr>
          <w:rFonts w:ascii="Times New Roman" w:hAnsi="Times New Roman" w:eastAsia="仿宋_GB2312" w:cs="Times New Roman"/>
          <w:sz w:val="32"/>
          <w:szCs w:val="32"/>
        </w:rPr>
      </w:pPr>
    </w:p>
    <w:p>
      <w:pPr>
        <w:spacing w:line="590" w:lineRule="exact"/>
        <w:jc w:val="right"/>
        <w:rPr>
          <w:rFonts w:ascii="Times New Roman" w:hAnsi="Times New Roman" w:eastAsia="仿宋_GB2312" w:cs="Times New Roman"/>
          <w:sz w:val="32"/>
          <w:szCs w:val="32"/>
        </w:rPr>
      </w:pPr>
    </w:p>
    <w:p>
      <w:pPr>
        <w:spacing w:line="590" w:lineRule="exact"/>
        <w:jc w:val="right"/>
        <w:rPr>
          <w:rFonts w:ascii="Times New Roman" w:hAnsi="Times New Roman" w:eastAsia="仿宋_GB2312" w:cs="Times New Roman"/>
          <w:sz w:val="32"/>
          <w:szCs w:val="32"/>
        </w:rPr>
      </w:pPr>
    </w:p>
    <w:p>
      <w:pPr>
        <w:spacing w:line="590" w:lineRule="exact"/>
        <w:ind w:firstLine="4960" w:firstLineChars="15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共青团成都市委</w:t>
      </w:r>
    </w:p>
    <w:p>
      <w:pPr>
        <w:spacing w:line="59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2018年5月2</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日</w:t>
      </w:r>
    </w:p>
    <w:p>
      <w:pPr>
        <w:spacing w:line="59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700" w:lineRule="exact"/>
        <w:jc w:val="left"/>
        <w:textAlignment w:val="auto"/>
        <w:outlineLvl w:val="9"/>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700" w:lineRule="exact"/>
        <w:jc w:val="left"/>
        <w:textAlignment w:val="auto"/>
        <w:outlineLvl w:val="9"/>
        <w:rPr>
          <w:rFonts w:hint="eastAsia" w:asciiTheme="minorEastAsia" w:hAnsiTheme="minorEastAsia" w:eastAsia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2018年暑假大学生赴蓉社会调研项目</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各区（市）县调研课题统计表</w:t>
      </w:r>
    </w:p>
    <w:tbl>
      <w:tblPr>
        <w:tblStyle w:val="6"/>
        <w:tblpPr w:leftFromText="180" w:rightFromText="180" w:vertAnchor="text" w:horzAnchor="page" w:tblpXSpec="center" w:tblpY="418"/>
        <w:tblOverlap w:val="never"/>
        <w:tblW w:w="83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553"/>
        <w:gridCol w:w="6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序号</w:t>
            </w:r>
          </w:p>
        </w:tc>
        <w:tc>
          <w:tcPr>
            <w:tcW w:w="1553"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区（市）县</w:t>
            </w:r>
          </w:p>
        </w:tc>
        <w:tc>
          <w:tcPr>
            <w:tcW w:w="6044" w:type="dxa"/>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黑体" w:hAnsi="黑体" w:eastAsia="黑体" w:cs="黑体"/>
                <w:sz w:val="24"/>
                <w:szCs w:val="24"/>
                <w:vertAlign w:val="baseline"/>
                <w:lang w:val="en-US" w:eastAsia="zh-CN"/>
              </w:rPr>
            </w:pPr>
            <w:r>
              <w:rPr>
                <w:rFonts w:hint="eastAsia" w:ascii="黑体" w:hAnsi="黑体" w:eastAsia="黑体" w:cs="黑体"/>
                <w:sz w:val="24"/>
                <w:szCs w:val="24"/>
                <w:vertAlign w:val="baseline"/>
                <w:lang w:val="en-US" w:eastAsia="zh-CN"/>
              </w:rPr>
              <w:t>课题名称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天府新区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2</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高新区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论成都高新区人才政策在“抢人大战”中的优势与劣势以及如何服务高新区的主导产业(以此自拟）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3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3</w:t>
            </w:r>
          </w:p>
        </w:tc>
        <w:tc>
          <w:tcPr>
            <w:tcW w:w="155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锦江区</w:t>
            </w:r>
          </w:p>
        </w:tc>
        <w:tc>
          <w:tcPr>
            <w:tcW w:w="60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现代商贸商务人才的界定和培养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37"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1553"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60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原创艺术产业与地方经济融合发展的路径研究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4</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青羊区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实施精准人才项目，促进人才发展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5</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金牛区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6</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武侯区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城市城区大力培育和发展文创产业的措施建议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7</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成华区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成华区“文旅成华”建设路径研究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8</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龙泉驿区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9</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青白江区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10</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新都区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新都区社区治理中政府与社区的关系研究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3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11</w:t>
            </w:r>
          </w:p>
        </w:tc>
        <w:tc>
          <w:tcPr>
            <w:tcW w:w="155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温江区</w:t>
            </w:r>
          </w:p>
        </w:tc>
        <w:tc>
          <w:tcPr>
            <w:tcW w:w="60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温江健康产业生态圈建设路径分析研究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37"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1553"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60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温江生活性服务业高质量发展研究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37"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1553"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60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健康产业高地和乡镇振兴背景下温江区现代都市农业产业发展分析研究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37"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1553"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60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群团组织在社区发展治理中作用发挥途经分析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12</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双流区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13</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郫都区</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14</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简阳市</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15</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都江堰市</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都江堰市加快文化旅游发展研究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3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16</w:t>
            </w:r>
          </w:p>
        </w:tc>
        <w:tc>
          <w:tcPr>
            <w:tcW w:w="155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彭州市</w:t>
            </w:r>
          </w:p>
        </w:tc>
        <w:tc>
          <w:tcPr>
            <w:tcW w:w="60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乡村振兴背景下区域产业发展合作的现状研究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37"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1553"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60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全域旅游视角下彭州市乡村旅游的提升研究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17</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邛崃市</w:t>
            </w:r>
          </w:p>
        </w:tc>
        <w:tc>
          <w:tcPr>
            <w:tcW w:w="604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以“文君文化”为代表的邛崃市文创产业生态圈现状及发展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3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18</w:t>
            </w:r>
          </w:p>
        </w:tc>
        <w:tc>
          <w:tcPr>
            <w:tcW w:w="155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崇州市</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乡村可持续发展之乡村和谐社区建设研究——以崇州凡朴生态村为例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37"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155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关于崇州市新经济建设的思考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37"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155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崇州市陇海三郎智慧小镇建设规划与路径研究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37"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155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非物质文化遗产的知识产权保护研究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73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19</w:t>
            </w:r>
          </w:p>
        </w:tc>
        <w:tc>
          <w:tcPr>
            <w:tcW w:w="155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金堂县</w:t>
            </w:r>
          </w:p>
        </w:tc>
        <w:tc>
          <w:tcPr>
            <w:tcW w:w="6044"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基层农村农业工作与推进乡村振兴融合互补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737"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1553"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6044"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如何整合发掘镇内优势资源实现乡村振兴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737"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1553"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6044"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社区发展治理在山区农村地区如何推进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737"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1553" w:type="dxa"/>
            <w:vMerge w:val="continue"/>
            <w:vAlign w:val="center"/>
          </w:tcPr>
          <w:p>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p>
        </w:tc>
        <w:tc>
          <w:tcPr>
            <w:tcW w:w="6044"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结合小区智能化发展方向为三溪建设智慧小镇提供建议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20</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新津县</w:t>
            </w:r>
          </w:p>
        </w:tc>
        <w:tc>
          <w:tcPr>
            <w:tcW w:w="6044" w:type="dxa"/>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37"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21</w:t>
            </w:r>
          </w:p>
        </w:tc>
        <w:tc>
          <w:tcPr>
            <w:tcW w:w="155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大邑县</w:t>
            </w:r>
          </w:p>
        </w:tc>
        <w:tc>
          <w:tcPr>
            <w:tcW w:w="6044"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自拟题目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737"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22</w:t>
            </w:r>
          </w:p>
        </w:tc>
        <w:tc>
          <w:tcPr>
            <w:tcW w:w="155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蒲江县</w:t>
            </w:r>
          </w:p>
        </w:tc>
        <w:tc>
          <w:tcPr>
            <w:tcW w:w="6044"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基于乡村振兴战略下的产业兴旺路径思考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737"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155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rPr>
            </w:pPr>
          </w:p>
        </w:tc>
        <w:tc>
          <w:tcPr>
            <w:tcW w:w="6044" w:type="dxa"/>
          </w:tcPr>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outlineLvl w:val="9"/>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蒲江县科技创新能力研究及下一步思考</w:t>
            </w:r>
          </w:p>
        </w:tc>
      </w:tr>
    </w:tbl>
    <w:p>
      <w:pPr>
        <w:keepNext w:val="0"/>
        <w:keepLines w:val="0"/>
        <w:pageBreakBefore w:val="0"/>
        <w:widowControl w:val="0"/>
        <w:kinsoku/>
        <w:wordWrap/>
        <w:overflowPunct/>
        <w:topLinePunct w:val="0"/>
        <w:autoSpaceDE/>
        <w:autoSpaceDN/>
        <w:bidi w:val="0"/>
        <w:adjustRightInd/>
        <w:snapToGrid/>
        <w:spacing w:line="700" w:lineRule="exact"/>
        <w:jc w:val="center"/>
        <w:textAlignment w:val="auto"/>
        <w:outlineLvl w:val="9"/>
        <w:rPr>
          <w:rFonts w:hint="eastAsia" w:ascii="仿宋_GB2312" w:hAnsi="仿宋_GB2312" w:eastAsia="仿宋_GB2312" w:cs="仿宋_GB2312"/>
          <w:sz w:val="24"/>
          <w:szCs w:val="24"/>
          <w:lang w:val="en-US" w:eastAsia="zh-CN"/>
        </w:rPr>
      </w:pPr>
    </w:p>
    <w:p>
      <w:pPr>
        <w:spacing w:line="590" w:lineRule="exact"/>
        <w:rPr>
          <w:rFonts w:hint="eastAsia" w:ascii="Times New Roman" w:hAnsi="Times New Roman" w:eastAsia="仿宋_GB2312" w:cs="Times New Roman"/>
          <w:sz w:val="32"/>
          <w:szCs w:val="32"/>
        </w:rPr>
      </w:pPr>
    </w:p>
    <w:sectPr>
      <w:footerReference r:id="rId3" w:type="default"/>
      <w:footerReference r:id="rId4" w:type="even"/>
      <w:pgSz w:w="11906" w:h="16838"/>
      <w:pgMar w:top="1701" w:right="1588" w:bottom="1134" w:left="1588" w:header="567" w:footer="1418" w:gutter="0"/>
      <w:cols w:space="425" w:num="1"/>
      <w:titlePg/>
      <w:docGrid w:type="lines" w:linePitch="636" w:charSpace="208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76473"/>
      <w:docPartObj>
        <w:docPartGallery w:val="autotext"/>
      </w:docPartObj>
    </w:sdtPr>
    <w:sdtContent>
      <w:p>
        <w:pPr>
          <w:pStyle w:val="2"/>
          <w:jc w:val="right"/>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3</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76483"/>
      <w:docPartObj>
        <w:docPartGallery w:val="autotext"/>
      </w:docPartObj>
    </w:sdtPr>
    <w:sdtContent>
      <w:p>
        <w:pPr>
          <w:pStyle w:val="2"/>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evenAndOddHeaders w:val="1"/>
  <w:drawingGridHorizontalSpacing w:val="156"/>
  <w:drawingGridVerticalSpacing w:val="3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9508F"/>
    <w:rsid w:val="00142FF4"/>
    <w:rsid w:val="00391F90"/>
    <w:rsid w:val="005F08A0"/>
    <w:rsid w:val="007C31BD"/>
    <w:rsid w:val="00AA1482"/>
    <w:rsid w:val="00B65EE5"/>
    <w:rsid w:val="00CD5108"/>
    <w:rsid w:val="06A85B6D"/>
    <w:rsid w:val="06A87ED9"/>
    <w:rsid w:val="09A54F1E"/>
    <w:rsid w:val="1156497C"/>
    <w:rsid w:val="170E5EFC"/>
    <w:rsid w:val="18967101"/>
    <w:rsid w:val="18DB63D0"/>
    <w:rsid w:val="1B650B1C"/>
    <w:rsid w:val="1E186280"/>
    <w:rsid w:val="20EB043F"/>
    <w:rsid w:val="22265344"/>
    <w:rsid w:val="275A3A35"/>
    <w:rsid w:val="288F628E"/>
    <w:rsid w:val="2A2516F8"/>
    <w:rsid w:val="2C513230"/>
    <w:rsid w:val="2D69508F"/>
    <w:rsid w:val="30064ACC"/>
    <w:rsid w:val="3129155B"/>
    <w:rsid w:val="32684C82"/>
    <w:rsid w:val="38602D4E"/>
    <w:rsid w:val="3D8D1A5C"/>
    <w:rsid w:val="3EBA095D"/>
    <w:rsid w:val="444831B7"/>
    <w:rsid w:val="46123170"/>
    <w:rsid w:val="49BE2A11"/>
    <w:rsid w:val="49EA132E"/>
    <w:rsid w:val="4A6E6B45"/>
    <w:rsid w:val="4B46757E"/>
    <w:rsid w:val="502F58FC"/>
    <w:rsid w:val="530B5D04"/>
    <w:rsid w:val="582C3740"/>
    <w:rsid w:val="5A050C80"/>
    <w:rsid w:val="5EBD621D"/>
    <w:rsid w:val="61B061F2"/>
    <w:rsid w:val="66FD0594"/>
    <w:rsid w:val="6CA7209F"/>
    <w:rsid w:val="6D535020"/>
    <w:rsid w:val="73762326"/>
    <w:rsid w:val="73DB5817"/>
    <w:rsid w:val="764617D3"/>
    <w:rsid w:val="78BA32D0"/>
    <w:rsid w:val="7BBE30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4"/>
    <w:link w:val="3"/>
    <w:qFormat/>
    <w:uiPriority w:val="0"/>
    <w:rPr>
      <w:rFonts w:cs="Calibri"/>
      <w:kern w:val="2"/>
      <w:sz w:val="18"/>
      <w:szCs w:val="18"/>
    </w:rPr>
  </w:style>
  <w:style w:type="character" w:customStyle="1" w:styleId="8">
    <w:name w:val="页脚 Char"/>
    <w:basedOn w:val="4"/>
    <w:link w:val="2"/>
    <w:qFormat/>
    <w:uiPriority w:val="99"/>
    <w:rPr>
      <w:rFonts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23\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3</Pages>
  <Words>135</Words>
  <Characters>776</Characters>
  <Lines>6</Lines>
  <Paragraphs>1</Paragraphs>
  <TotalTime>27</TotalTime>
  <ScaleCrop>false</ScaleCrop>
  <LinksUpToDate>false</LinksUpToDate>
  <CharactersWithSpaces>910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2018-05-16T02:27:00Z</dcterms:created>
  <dc:creator>123</dc:creator>
  <cp:lastModifiedBy>annahu</cp:lastModifiedBy>
  <cp:lastPrinted>2018-05-28T09:41:00Z</cp:lastPrinted>
  <dcterms:modified xsi:type="dcterms:W3CDTF">2018-06-06T11:39:07Z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